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80ADC" w:rsidRDefault="00DE723D">
      <w:pPr>
        <w:spacing w:line="259" w:lineRule="auto"/>
        <w:ind w:hanging="720"/>
        <w:jc w:val="both"/>
        <w:rPr>
          <w:rFonts w:ascii="Century Gothic" w:eastAsia="Century Gothic" w:hAnsi="Century Gothic" w:cs="Century Gothic"/>
        </w:rPr>
      </w:pPr>
      <w:r>
        <w:rPr>
          <w:rFonts w:ascii="Century Gothic" w:eastAsia="Century Gothic" w:hAnsi="Century Gothic" w:cs="Century Gothic"/>
        </w:rPr>
        <w:t>Salud consciente.</w:t>
      </w:r>
    </w:p>
    <w:p w14:paraId="00000002" w14:textId="77777777" w:rsidR="00F80ADC" w:rsidRDefault="00DE723D">
      <w:pPr>
        <w:spacing w:line="259" w:lineRule="auto"/>
        <w:ind w:hanging="720"/>
        <w:rPr>
          <w:rFonts w:ascii="Century Gothic" w:eastAsia="Century Gothic" w:hAnsi="Century Gothic" w:cs="Century Gothic"/>
          <w:sz w:val="40"/>
          <w:szCs w:val="40"/>
        </w:rPr>
      </w:pPr>
      <w:r>
        <w:rPr>
          <w:rFonts w:ascii="Century Gothic" w:eastAsia="Century Gothic" w:hAnsi="Century Gothic" w:cs="Century Gothic"/>
          <w:sz w:val="40"/>
          <w:szCs w:val="40"/>
        </w:rPr>
        <w:t>La vuelta del sarampión preocupa a las autoridades del MSP</w:t>
      </w:r>
    </w:p>
    <w:p w14:paraId="00000003" w14:textId="77777777" w:rsidR="00F80ADC" w:rsidRDefault="00F80ADC">
      <w:pPr>
        <w:spacing w:line="259" w:lineRule="auto"/>
        <w:ind w:hanging="720"/>
        <w:jc w:val="both"/>
        <w:rPr>
          <w:rFonts w:ascii="Century Gothic" w:eastAsia="Century Gothic" w:hAnsi="Century Gothic" w:cs="Century Gothic"/>
          <w:sz w:val="40"/>
          <w:szCs w:val="40"/>
        </w:rPr>
      </w:pPr>
    </w:p>
    <w:p w14:paraId="00000004" w14:textId="77777777" w:rsidR="00F80ADC" w:rsidRDefault="00DE723D">
      <w:pPr>
        <w:pBdr>
          <w:bottom w:val="single" w:sz="4" w:space="1" w:color="000000"/>
        </w:pBdr>
        <w:spacing w:line="259" w:lineRule="auto"/>
        <w:ind w:hanging="720"/>
        <w:jc w:val="both"/>
        <w:rPr>
          <w:rFonts w:ascii="Century Gothic" w:eastAsia="Century Gothic" w:hAnsi="Century Gothic" w:cs="Century Gothic"/>
        </w:rPr>
      </w:pPr>
      <w:r>
        <w:rPr>
          <w:rFonts w:ascii="Century Gothic" w:eastAsia="Century Gothic" w:hAnsi="Century Gothic" w:cs="Century Gothic"/>
        </w:rPr>
        <w:t>Medidas a tener en cuenta frente al sarampión</w:t>
      </w:r>
    </w:p>
    <w:p w14:paraId="00000005" w14:textId="77777777" w:rsidR="00F80ADC" w:rsidRDefault="00DE723D">
      <w:pPr>
        <w:spacing w:line="259" w:lineRule="auto"/>
        <w:ind w:hanging="720"/>
        <w:jc w:val="both"/>
        <w:rPr>
          <w:rFonts w:ascii="Century Gothic" w:eastAsia="Century Gothic" w:hAnsi="Century Gothic" w:cs="Century Gothic"/>
        </w:rPr>
      </w:pPr>
      <w:r>
        <w:rPr>
          <w:rFonts w:ascii="Century Gothic" w:eastAsia="Century Gothic" w:hAnsi="Century Gothic" w:cs="Century Gothic"/>
        </w:rPr>
        <w:t>Tiempo de lectura 5 min.</w:t>
      </w:r>
    </w:p>
    <w:p w14:paraId="00000006" w14:textId="77777777" w:rsidR="00F80ADC" w:rsidRDefault="00DE723D">
      <w:pPr>
        <w:spacing w:line="259" w:lineRule="auto"/>
        <w:ind w:hanging="720"/>
        <w:jc w:val="both"/>
        <w:rPr>
          <w:rFonts w:ascii="Century Gothic" w:eastAsia="Century Gothic" w:hAnsi="Century Gothic" w:cs="Century Gothic"/>
        </w:rPr>
      </w:pPr>
      <w:r>
        <w:rPr>
          <w:rFonts w:ascii="Century Gothic" w:eastAsia="Century Gothic" w:hAnsi="Century Gothic" w:cs="Century Gothic"/>
        </w:rPr>
        <w:t>30 de abril de 2019</w:t>
      </w:r>
    </w:p>
    <w:p w14:paraId="00000007" w14:textId="77777777" w:rsidR="00F80ADC" w:rsidRDefault="00F80ADC">
      <w:pPr>
        <w:pBdr>
          <w:bottom w:val="single" w:sz="4" w:space="1" w:color="000000"/>
        </w:pBdr>
        <w:spacing w:after="160" w:line="259" w:lineRule="auto"/>
        <w:ind w:hanging="720"/>
        <w:jc w:val="both"/>
        <w:rPr>
          <w:rFonts w:ascii="Century Gothic" w:eastAsia="Century Gothic" w:hAnsi="Century Gothic" w:cs="Century Gothic"/>
        </w:rPr>
      </w:pPr>
    </w:p>
    <w:p w14:paraId="00000008" w14:textId="28ED99FC"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En Uruguay no había casos de sarampión desde 1999, pero en lo que va del año se confirmaron 5 de esta enfermedad. El primero fue un pasajero ruso que viajó desde Buenos Aires, el 17 de marzo, vino por el día, en el buque Francisco </w:t>
      </w:r>
      <w:r w:rsidR="00556707">
        <w:rPr>
          <w:rFonts w:ascii="Century Gothic" w:eastAsia="Century Gothic" w:hAnsi="Century Gothic" w:cs="Century Gothic"/>
        </w:rPr>
        <w:t xml:space="preserve">Papa </w:t>
      </w:r>
      <w:r>
        <w:rPr>
          <w:rFonts w:ascii="Century Gothic" w:eastAsia="Century Gothic" w:hAnsi="Century Gothic" w:cs="Century Gothic"/>
        </w:rPr>
        <w:t xml:space="preserve">y se fue en la noche. El Ministerio de Salud Pública (MSP) confirmó que el viajero tenía sarampión y lanzó un comunicado que instaba a los viajeros, que compartieron el buque o habrían estado en contacto con él, a tomar precauciones y estar atentos. </w:t>
      </w:r>
    </w:p>
    <w:p w14:paraId="0000000A" w14:textId="77777777"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color w:val="262626"/>
        </w:rPr>
        <w:t>En primer lugar, revisar con que se cuente con las dos dosis de la vacuna triple viral (SRP). Se recomienda también consultar al médico en caso de tener fiebre, erupción cutánea, conjuntivitis, síntomas respiratorios, hasta dos semanas después del viaje.</w:t>
      </w:r>
      <w:r>
        <w:rPr>
          <w:rFonts w:ascii="Century Gothic" w:eastAsia="Century Gothic" w:hAnsi="Century Gothic" w:cs="Century Gothic"/>
        </w:rPr>
        <w:t xml:space="preserve"> </w:t>
      </w:r>
    </w:p>
    <w:p w14:paraId="0000000B" w14:textId="77777777"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El sarampión es una enfermedad respiratoria, contagiosa, causada por un virus. Sus síntomas se caracterizan por la ocurrencia de fiebre y erupción cutánea. Frecuentemente se presenta con conjuntivitis (ojos rojos) y corrimiento por la nariz. Se puede complicar y provocar la muerte en personas con el sistema inmune debilitado y/o mal alimentadas. La mayor parte de las muertes por sarampión se registran en países con bajos ingresos per cápita e infraestructura sanitaria deficiente.</w:t>
      </w:r>
    </w:p>
    <w:p w14:paraId="0000000C" w14:textId="381D4F75"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De los 5 contagiados, a partir del ciudadano ruso, </w:t>
      </w:r>
      <w:r w:rsidR="008655CA">
        <w:rPr>
          <w:rFonts w:ascii="Century Gothic" w:eastAsia="Century Gothic" w:hAnsi="Century Gothic" w:cs="Century Gothic"/>
        </w:rPr>
        <w:t xml:space="preserve">hay dos entre el personal de salud, </w:t>
      </w:r>
      <w:r>
        <w:rPr>
          <w:rFonts w:ascii="Century Gothic" w:eastAsia="Century Gothic" w:hAnsi="Century Gothic" w:cs="Century Gothic"/>
        </w:rPr>
        <w:t xml:space="preserve">un médico y una enfermera. Ambos pasaron la enfermedad satisfactoriamente y en sus domicilios, sin ninguna gravedad. La directora de epidemiología del MSP Lucía Alonso, sugiere que fueron leves porque tuvieron una buena respuesta inmune, gracias a alguna inmunidad parcial previa brindada por una o dos dosis de la vacuna. </w:t>
      </w:r>
    </w:p>
    <w:p w14:paraId="0000000D" w14:textId="7F8178B9"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El MSP está administrando, en forma masiva, una vacuna que no es sólo contra el </w:t>
      </w:r>
      <w:r w:rsidR="008655CA">
        <w:rPr>
          <w:rFonts w:ascii="Century Gothic" w:eastAsia="Century Gothic" w:hAnsi="Century Gothic" w:cs="Century Gothic"/>
        </w:rPr>
        <w:t>sarampión</w:t>
      </w:r>
      <w:r>
        <w:rPr>
          <w:rFonts w:ascii="Century Gothic" w:eastAsia="Century Gothic" w:hAnsi="Century Gothic" w:cs="Century Gothic"/>
        </w:rPr>
        <w:t xml:space="preserve">, sino </w:t>
      </w:r>
      <w:r w:rsidR="00556707">
        <w:rPr>
          <w:rFonts w:ascii="Century Gothic" w:eastAsia="Century Gothic" w:hAnsi="Century Gothic" w:cs="Century Gothic"/>
        </w:rPr>
        <w:t>que,</w:t>
      </w:r>
      <w:r>
        <w:rPr>
          <w:rFonts w:ascii="Century Gothic" w:eastAsia="Century Gothic" w:hAnsi="Century Gothic" w:cs="Century Gothic"/>
        </w:rPr>
        <w:t xml:space="preserve"> además, es contra la</w:t>
      </w:r>
      <w:r>
        <w:rPr>
          <w:rFonts w:ascii="Century Gothic" w:eastAsia="Century Gothic" w:hAnsi="Century Gothic" w:cs="Century Gothic"/>
          <w:color w:val="262626"/>
        </w:rPr>
        <w:t xml:space="preserve"> rubéola, </w:t>
      </w:r>
      <w:r>
        <w:rPr>
          <w:rFonts w:ascii="Century Gothic" w:eastAsia="Century Gothic" w:hAnsi="Century Gothic" w:cs="Century Gothic"/>
        </w:rPr>
        <w:t>enfermedad erradicada en América desde el año 2009 y contra las paperas</w:t>
      </w:r>
      <w:r>
        <w:rPr>
          <w:rFonts w:ascii="Century Gothic" w:eastAsia="Century Gothic" w:hAnsi="Century Gothic" w:cs="Century Gothic"/>
          <w:color w:val="262626"/>
        </w:rPr>
        <w:t>.</w:t>
      </w:r>
      <w:r>
        <w:rPr>
          <w:rFonts w:ascii="Century Gothic" w:eastAsia="Century Gothic" w:hAnsi="Century Gothic" w:cs="Century Gothic"/>
        </w:rPr>
        <w:t xml:space="preserve"> Como consecuencia, están apareciendo reportes de paperas, tal como se advierte en el prospecto del propio fabricante, donde </w:t>
      </w:r>
      <w:r w:rsidR="00556707">
        <w:rPr>
          <w:rFonts w:ascii="Century Gothic" w:eastAsia="Century Gothic" w:hAnsi="Century Gothic" w:cs="Century Gothic"/>
        </w:rPr>
        <w:t>específica</w:t>
      </w:r>
      <w:r>
        <w:rPr>
          <w:rFonts w:ascii="Century Gothic" w:eastAsia="Century Gothic" w:hAnsi="Century Gothic" w:cs="Century Gothic"/>
        </w:rPr>
        <w:t>, que debido al componente de parotiditis</w:t>
      </w:r>
      <w:r w:rsidR="0020450C">
        <w:rPr>
          <w:rFonts w:ascii="Century Gothic" w:eastAsia="Century Gothic" w:hAnsi="Century Gothic" w:cs="Century Gothic"/>
        </w:rPr>
        <w:t>(paperas)</w:t>
      </w:r>
      <w:r>
        <w:rPr>
          <w:rFonts w:ascii="Century Gothic" w:eastAsia="Century Gothic" w:hAnsi="Century Gothic" w:cs="Century Gothic"/>
        </w:rPr>
        <w:t xml:space="preserve"> </w:t>
      </w:r>
      <w:r w:rsidR="0020450C">
        <w:rPr>
          <w:rFonts w:ascii="Century Gothic" w:eastAsia="Century Gothic" w:hAnsi="Century Gothic" w:cs="Century Gothic"/>
        </w:rPr>
        <w:t xml:space="preserve">al ser de </w:t>
      </w:r>
      <w:r w:rsidR="00BF159C">
        <w:rPr>
          <w:rFonts w:ascii="Century Gothic" w:eastAsia="Century Gothic" w:hAnsi="Century Gothic" w:cs="Century Gothic"/>
        </w:rPr>
        <w:t>virus vivos atenuados</w:t>
      </w:r>
      <w:r>
        <w:rPr>
          <w:rFonts w:ascii="Century Gothic" w:eastAsia="Century Gothic" w:hAnsi="Century Gothic" w:cs="Century Gothic"/>
        </w:rPr>
        <w:t xml:space="preserve"> puede </w:t>
      </w:r>
      <w:r w:rsidR="00BF159C">
        <w:rPr>
          <w:rFonts w:ascii="Century Gothic" w:eastAsia="Century Gothic" w:hAnsi="Century Gothic" w:cs="Century Gothic"/>
        </w:rPr>
        <w:t>resultar en paperas.</w:t>
      </w:r>
    </w:p>
    <w:p w14:paraId="0000000E" w14:textId="1960AED9" w:rsidR="00F80ADC" w:rsidRDefault="00BF159C">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El Subsecretario del Ministerio de Salud Publica el Dr. Jorge Quian </w:t>
      </w:r>
      <w:r w:rsidR="00DE723D">
        <w:rPr>
          <w:rFonts w:ascii="Century Gothic" w:eastAsia="Century Gothic" w:hAnsi="Century Gothic" w:cs="Century Gothic"/>
        </w:rPr>
        <w:t>reconoce</w:t>
      </w:r>
      <w:r>
        <w:rPr>
          <w:rFonts w:ascii="Century Gothic" w:eastAsia="Century Gothic" w:hAnsi="Century Gothic" w:cs="Century Gothic"/>
        </w:rPr>
        <w:t xml:space="preserve"> que los</w:t>
      </w:r>
      <w:r w:rsidR="00DE723D">
        <w:rPr>
          <w:rFonts w:ascii="Century Gothic" w:eastAsia="Century Gothic" w:hAnsi="Century Gothic" w:cs="Century Gothic"/>
        </w:rPr>
        <w:t xml:space="preserve"> vacunados pueden contraer paperas y sarampión</w:t>
      </w:r>
      <w:r w:rsidR="00B05BDF">
        <w:rPr>
          <w:rFonts w:ascii="Century Gothic" w:eastAsia="Century Gothic" w:hAnsi="Century Gothic" w:cs="Century Gothic"/>
        </w:rPr>
        <w:t>.</w:t>
      </w:r>
      <w:r w:rsidR="00DE723D">
        <w:rPr>
          <w:rFonts w:ascii="Century Gothic" w:eastAsia="Century Gothic" w:hAnsi="Century Gothic" w:cs="Century Gothic"/>
        </w:rPr>
        <w:t xml:space="preserve"> </w:t>
      </w:r>
      <w:r w:rsidR="00B05BDF">
        <w:rPr>
          <w:rFonts w:ascii="Century Gothic" w:eastAsia="Century Gothic" w:hAnsi="Century Gothic" w:cs="Century Gothic"/>
        </w:rPr>
        <w:t>Y</w:t>
      </w:r>
      <w:r>
        <w:rPr>
          <w:rFonts w:ascii="Century Gothic" w:eastAsia="Century Gothic" w:hAnsi="Century Gothic" w:cs="Century Gothic"/>
        </w:rPr>
        <w:t xml:space="preserve"> </w:t>
      </w:r>
      <w:r w:rsidR="00DE723D">
        <w:rPr>
          <w:rFonts w:ascii="Century Gothic" w:eastAsia="Century Gothic" w:hAnsi="Century Gothic" w:cs="Century Gothic"/>
        </w:rPr>
        <w:t xml:space="preserve">por ende pueden contagiar a personas sanas y más vulnerables como las inmunodeprimidas. La inmunidad que brinda la vacuna dura entre 15 a 20 años aproximadamente. No es de por vida, </w:t>
      </w:r>
      <w:r w:rsidR="00DE723D">
        <w:rPr>
          <w:rFonts w:ascii="Century Gothic" w:eastAsia="Century Gothic" w:hAnsi="Century Gothic" w:cs="Century Gothic"/>
        </w:rPr>
        <w:lastRenderedPageBreak/>
        <w:t>como si lo es la inmunidad adquirida después de pasar la enfermedad naturalmente.</w:t>
      </w:r>
    </w:p>
    <w:p w14:paraId="00000011" w14:textId="3C4FB57B"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Entre las reacciones adversas no frecuentes encontramos: </w:t>
      </w:r>
      <w:r w:rsidR="008655CA">
        <w:rPr>
          <w:rFonts w:ascii="Century Gothic" w:eastAsia="Century Gothic" w:hAnsi="Century Gothic" w:cs="Century Gothic"/>
        </w:rPr>
        <w:t>encefalitis</w:t>
      </w:r>
      <w:r>
        <w:rPr>
          <w:rFonts w:ascii="Century Gothic" w:eastAsia="Century Gothic" w:hAnsi="Century Gothic" w:cs="Century Gothic"/>
        </w:rPr>
        <w:t xml:space="preserve">, meningitis aséptica, artralgia, artritis (sobre todo en mujeres), paperas entre otras. </w:t>
      </w:r>
    </w:p>
    <w:p w14:paraId="00000014" w14:textId="5ACA19C0"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Si aparece alguna reacción adversa de la vacuna, se debe denunciar en la página Web del MSP en notificaciones de efectos adversos supuestamente atribuibles a la vacunación (ESAVI). Lo puede hacer la persona afectada, el médico tratante o un tercero.</w:t>
      </w:r>
      <w:bookmarkStart w:id="0" w:name="_gjdgxs" w:colFirst="0" w:colLast="0"/>
      <w:bookmarkEnd w:id="0"/>
    </w:p>
    <w:p w14:paraId="00000015" w14:textId="77777777" w:rsidR="00F80ADC" w:rsidRDefault="00DE723D">
      <w:pPr>
        <w:spacing w:after="160" w:line="259" w:lineRule="auto"/>
        <w:jc w:val="both"/>
        <w:rPr>
          <w:rFonts w:ascii="Century Gothic" w:eastAsia="Century Gothic" w:hAnsi="Century Gothic" w:cs="Century Gothic"/>
        </w:rPr>
      </w:pPr>
      <w:bookmarkStart w:id="1" w:name="_60v59mwhmaft" w:colFirst="0" w:colLast="0"/>
      <w:bookmarkEnd w:id="1"/>
      <w:r>
        <w:rPr>
          <w:rFonts w:ascii="Century Gothic" w:eastAsia="Century Gothic" w:hAnsi="Century Gothic" w:cs="Century Gothic"/>
        </w:rPr>
        <w:t>La vacuna SRP no se debe administrar a embarazadas, ni a quienes estén queriendo tener familia, debido al riesgo teratogénico (</w:t>
      </w:r>
      <w:r>
        <w:rPr>
          <w:rFonts w:ascii="Century Gothic" w:eastAsia="Century Gothic" w:hAnsi="Century Gothic" w:cs="Century Gothic"/>
          <w:color w:val="222222"/>
          <w:highlight w:val="white"/>
        </w:rPr>
        <w:t>Malformaciones o anomalías de carácter anatómico o funcional, provocadas en el feto por la administración de medicamentos a la madre durante la gestación)</w:t>
      </w:r>
      <w:r>
        <w:rPr>
          <w:rFonts w:ascii="Century Gothic" w:eastAsia="Century Gothic" w:hAnsi="Century Gothic" w:cs="Century Gothic"/>
        </w:rPr>
        <w:t>.</w:t>
      </w:r>
    </w:p>
    <w:p w14:paraId="00000016" w14:textId="77777777" w:rsidR="00F80ADC" w:rsidRDefault="00DE723D">
      <w:pPr>
        <w:spacing w:after="160" w:line="259" w:lineRule="auto"/>
        <w:jc w:val="both"/>
        <w:rPr>
          <w:rFonts w:ascii="Century Gothic" w:eastAsia="Century Gothic" w:hAnsi="Century Gothic" w:cs="Century Gothic"/>
          <w:color w:val="222222"/>
          <w:highlight w:val="white"/>
        </w:rPr>
      </w:pPr>
      <w:bookmarkStart w:id="2" w:name="_m4wnptjreqa" w:colFirst="0" w:colLast="0"/>
      <w:bookmarkEnd w:id="2"/>
      <w:r>
        <w:rPr>
          <w:rFonts w:ascii="Century Gothic" w:eastAsia="Century Gothic" w:hAnsi="Century Gothic" w:cs="Century Gothic"/>
        </w:rPr>
        <w:t xml:space="preserve">También está contraindicada a cualquier persona que haya tenido una reacción alérgica severa a alguno de sus componentes, como por ejemplo a la neomicina. Este </w:t>
      </w:r>
      <w:r>
        <w:rPr>
          <w:rFonts w:ascii="Century Gothic" w:eastAsia="Century Gothic" w:hAnsi="Century Gothic" w:cs="Century Gothic"/>
          <w:color w:val="222222"/>
          <w:highlight w:val="white"/>
        </w:rPr>
        <w:t>es un fármaco que se utiliza en clínica, como antibiótico bactericida tanto por vía tópica como oral. Aunque su uso por vía oral está disminuyendo, debido a su elevada toxicidad cuando se administra de forma sistémica.</w:t>
      </w:r>
    </w:p>
    <w:p w14:paraId="00000020" w14:textId="1E7862A9" w:rsidR="00F80ADC" w:rsidRDefault="00DE723D" w:rsidP="00BF159C">
      <w:pPr>
        <w:spacing w:after="160" w:line="259" w:lineRule="auto"/>
        <w:jc w:val="both"/>
        <w:rPr>
          <w:rFonts w:ascii="Century Gothic" w:eastAsia="Century Gothic" w:hAnsi="Century Gothic" w:cs="Century Gothic"/>
          <w:color w:val="222222"/>
          <w:highlight w:val="white"/>
        </w:rPr>
      </w:pPr>
      <w:bookmarkStart w:id="3" w:name="_stucmw9il2xk" w:colFirst="0" w:colLast="0"/>
      <w:bookmarkEnd w:id="3"/>
      <w:r>
        <w:rPr>
          <w:rFonts w:ascii="Century Gothic" w:eastAsia="Century Gothic" w:hAnsi="Century Gothic" w:cs="Century Gothic"/>
          <w:color w:val="222222"/>
          <w:highlight w:val="white"/>
        </w:rPr>
        <w:t>La vacuna no debe ser administrada</w:t>
      </w:r>
      <w:bookmarkStart w:id="4" w:name="_bb0ubu4ii9ro" w:colFirst="0" w:colLast="0"/>
      <w:bookmarkEnd w:id="4"/>
      <w:r w:rsidR="00BF159C">
        <w:rPr>
          <w:rFonts w:ascii="Century Gothic" w:eastAsia="Century Gothic" w:hAnsi="Century Gothic" w:cs="Century Gothic"/>
          <w:color w:val="222222"/>
          <w:highlight w:val="white"/>
        </w:rPr>
        <w:t xml:space="preserve"> </w:t>
      </w:r>
      <w:r>
        <w:rPr>
          <w:rFonts w:ascii="Century Gothic" w:eastAsia="Century Gothic" w:hAnsi="Century Gothic" w:cs="Century Gothic"/>
          <w:color w:val="222222"/>
          <w:highlight w:val="white"/>
        </w:rPr>
        <w:t>en condiciones febriles</w:t>
      </w:r>
      <w:bookmarkStart w:id="5" w:name="_kbib4q9kwvfa" w:colFirst="0" w:colLast="0"/>
      <w:bookmarkEnd w:id="5"/>
      <w:r w:rsidR="00BF159C">
        <w:rPr>
          <w:rFonts w:ascii="Century Gothic" w:eastAsia="Century Gothic" w:hAnsi="Century Gothic" w:cs="Century Gothic"/>
          <w:color w:val="222222"/>
          <w:highlight w:val="white"/>
        </w:rPr>
        <w:t xml:space="preserve">, </w:t>
      </w:r>
      <w:r w:rsidR="008655CA">
        <w:rPr>
          <w:rFonts w:ascii="Century Gothic" w:eastAsia="Century Gothic" w:hAnsi="Century Gothic" w:cs="Century Gothic"/>
          <w:color w:val="222222"/>
          <w:highlight w:val="white"/>
        </w:rPr>
        <w:t xml:space="preserve">de </w:t>
      </w:r>
      <w:r>
        <w:rPr>
          <w:rFonts w:ascii="Century Gothic" w:eastAsia="Century Gothic" w:hAnsi="Century Gothic" w:cs="Century Gothic"/>
          <w:color w:val="222222"/>
          <w:highlight w:val="white"/>
        </w:rPr>
        <w:t>deterioro severo de la función renal</w:t>
      </w:r>
      <w:r w:rsidR="00BF159C">
        <w:rPr>
          <w:rFonts w:ascii="Century Gothic" w:eastAsia="Century Gothic" w:hAnsi="Century Gothic" w:cs="Century Gothic"/>
          <w:color w:val="222222"/>
          <w:highlight w:val="white"/>
        </w:rPr>
        <w:t>,</w:t>
      </w:r>
      <w:bookmarkStart w:id="6" w:name="_q4odbf10vboo" w:colFirst="0" w:colLast="0"/>
      <w:bookmarkEnd w:id="6"/>
      <w:r w:rsidR="008655CA">
        <w:rPr>
          <w:rFonts w:ascii="Century Gothic" w:eastAsia="Century Gothic" w:hAnsi="Century Gothic" w:cs="Century Gothic"/>
          <w:color w:val="222222"/>
          <w:highlight w:val="white"/>
        </w:rPr>
        <w:t xml:space="preserve"> a</w:t>
      </w:r>
      <w:r w:rsidR="00BF159C">
        <w:rPr>
          <w:rFonts w:ascii="Century Gothic" w:eastAsia="Century Gothic" w:hAnsi="Century Gothic" w:cs="Century Gothic"/>
          <w:color w:val="222222"/>
          <w:highlight w:val="white"/>
        </w:rPr>
        <w:t xml:space="preserve"> </w:t>
      </w:r>
      <w:r>
        <w:rPr>
          <w:rFonts w:ascii="Century Gothic" w:eastAsia="Century Gothic" w:hAnsi="Century Gothic" w:cs="Century Gothic"/>
          <w:color w:val="222222"/>
          <w:highlight w:val="white"/>
        </w:rPr>
        <w:t>personas alérgicas al huevo</w:t>
      </w:r>
      <w:r w:rsidR="00BF159C">
        <w:rPr>
          <w:rFonts w:ascii="Century Gothic" w:eastAsia="Century Gothic" w:hAnsi="Century Gothic" w:cs="Century Gothic"/>
          <w:color w:val="222222"/>
          <w:highlight w:val="white"/>
        </w:rPr>
        <w:t>,</w:t>
      </w:r>
      <w:r w:rsidR="008655CA">
        <w:rPr>
          <w:rFonts w:ascii="Century Gothic" w:eastAsia="Century Gothic" w:hAnsi="Century Gothic" w:cs="Century Gothic"/>
          <w:color w:val="222222"/>
          <w:highlight w:val="white"/>
        </w:rPr>
        <w:t xml:space="preserve"> con</w:t>
      </w:r>
      <w:r w:rsidR="00BF159C">
        <w:rPr>
          <w:rFonts w:ascii="Century Gothic" w:eastAsia="Century Gothic" w:hAnsi="Century Gothic" w:cs="Century Gothic"/>
          <w:color w:val="222222"/>
          <w:highlight w:val="white"/>
        </w:rPr>
        <w:t xml:space="preserve"> </w:t>
      </w:r>
      <w:bookmarkStart w:id="7" w:name="_comjswnprb6b" w:colFirst="0" w:colLast="0"/>
      <w:bookmarkEnd w:id="7"/>
      <w:r>
        <w:rPr>
          <w:rFonts w:ascii="Century Gothic" w:eastAsia="Century Gothic" w:hAnsi="Century Gothic" w:cs="Century Gothic"/>
          <w:color w:val="222222"/>
          <w:highlight w:val="white"/>
        </w:rPr>
        <w:t>infección por VIH</w:t>
      </w:r>
      <w:r w:rsidR="00BF159C">
        <w:rPr>
          <w:rFonts w:ascii="Century Gothic" w:eastAsia="Century Gothic" w:hAnsi="Century Gothic" w:cs="Century Gothic"/>
          <w:color w:val="222222"/>
          <w:highlight w:val="white"/>
        </w:rPr>
        <w:t xml:space="preserve">, </w:t>
      </w:r>
      <w:bookmarkStart w:id="8" w:name="_h2a61h1ydkoj" w:colFirst="0" w:colLast="0"/>
      <w:bookmarkEnd w:id="8"/>
      <w:r w:rsidR="008655CA">
        <w:rPr>
          <w:rFonts w:ascii="Century Gothic" w:eastAsia="Century Gothic" w:hAnsi="Century Gothic" w:cs="Century Gothic"/>
          <w:color w:val="222222"/>
          <w:highlight w:val="white"/>
        </w:rPr>
        <w:t>c</w:t>
      </w:r>
      <w:bookmarkStart w:id="9" w:name="_GoBack"/>
      <w:bookmarkEnd w:id="9"/>
      <w:r w:rsidR="008655CA">
        <w:rPr>
          <w:rFonts w:ascii="Century Gothic" w:eastAsia="Century Gothic" w:hAnsi="Century Gothic" w:cs="Century Gothic"/>
          <w:color w:val="222222"/>
          <w:highlight w:val="white"/>
        </w:rPr>
        <w:t xml:space="preserve">on </w:t>
      </w:r>
      <w:r>
        <w:rPr>
          <w:rFonts w:ascii="Century Gothic" w:eastAsia="Century Gothic" w:hAnsi="Century Gothic" w:cs="Century Gothic"/>
          <w:color w:val="222222"/>
          <w:highlight w:val="white"/>
        </w:rPr>
        <w:t xml:space="preserve">enfermedades cardiacas descompensadas, </w:t>
      </w:r>
      <w:bookmarkStart w:id="10" w:name="_wqtgmwydoi4q" w:colFirst="0" w:colLast="0"/>
      <w:bookmarkEnd w:id="10"/>
      <w:r>
        <w:rPr>
          <w:rFonts w:ascii="Century Gothic" w:eastAsia="Century Gothic" w:hAnsi="Century Gothic" w:cs="Century Gothic"/>
          <w:color w:val="222222"/>
          <w:highlight w:val="white"/>
        </w:rPr>
        <w:t>enfermedades infecciosas agudas</w:t>
      </w:r>
      <w:r w:rsidR="00BF159C">
        <w:rPr>
          <w:rFonts w:ascii="Century Gothic" w:eastAsia="Century Gothic" w:hAnsi="Century Gothic" w:cs="Century Gothic"/>
          <w:color w:val="222222"/>
          <w:highlight w:val="white"/>
        </w:rPr>
        <w:t xml:space="preserve">, </w:t>
      </w:r>
      <w:bookmarkStart w:id="11" w:name="_eg11bbckpl3h" w:colFirst="0" w:colLast="0"/>
      <w:bookmarkEnd w:id="11"/>
      <w:r>
        <w:rPr>
          <w:rFonts w:ascii="Century Gothic" w:eastAsia="Century Gothic" w:hAnsi="Century Gothic" w:cs="Century Gothic"/>
          <w:color w:val="222222"/>
          <w:highlight w:val="white"/>
        </w:rPr>
        <w:t>leucemia</w:t>
      </w:r>
      <w:r w:rsidR="00BF159C">
        <w:rPr>
          <w:rFonts w:ascii="Century Gothic" w:eastAsia="Century Gothic" w:hAnsi="Century Gothic" w:cs="Century Gothic"/>
          <w:color w:val="222222"/>
          <w:highlight w:val="white"/>
        </w:rPr>
        <w:t xml:space="preserve">, </w:t>
      </w:r>
      <w:bookmarkStart w:id="12" w:name="_c05qsspx8ai6" w:colFirst="0" w:colLast="0"/>
      <w:bookmarkEnd w:id="12"/>
      <w:r>
        <w:rPr>
          <w:rFonts w:ascii="Century Gothic" w:eastAsia="Century Gothic" w:hAnsi="Century Gothic" w:cs="Century Gothic"/>
          <w:color w:val="222222"/>
          <w:highlight w:val="white"/>
        </w:rPr>
        <w:t xml:space="preserve">anemia y </w:t>
      </w:r>
      <w:bookmarkStart w:id="13" w:name="_ovypyl62ji04" w:colFirst="0" w:colLast="0"/>
      <w:bookmarkEnd w:id="13"/>
      <w:r>
        <w:rPr>
          <w:rFonts w:ascii="Century Gothic" w:eastAsia="Century Gothic" w:hAnsi="Century Gothic" w:cs="Century Gothic"/>
          <w:color w:val="222222"/>
          <w:highlight w:val="white"/>
        </w:rPr>
        <w:t>otras enfermedades severas del sistema sanguíneo, entre otras contraindicaciones.</w:t>
      </w:r>
    </w:p>
    <w:p w14:paraId="00000021" w14:textId="77777777" w:rsidR="00F80ADC" w:rsidRDefault="00DE723D">
      <w:pPr>
        <w:spacing w:after="160" w:line="259" w:lineRule="auto"/>
        <w:jc w:val="both"/>
        <w:rPr>
          <w:rFonts w:ascii="Century Gothic" w:eastAsia="Century Gothic" w:hAnsi="Century Gothic" w:cs="Century Gothic"/>
        </w:rPr>
      </w:pPr>
      <w:r w:rsidRPr="00BF159C">
        <w:rPr>
          <w:rFonts w:ascii="Century Gothic" w:eastAsia="Century Gothic" w:hAnsi="Century Gothic" w:cs="Century Gothic"/>
        </w:rPr>
        <w:t>La Organización Panamericana de la Salud trabaja cada día con los países de la región para mejorar y proteger la salud de su población.</w:t>
      </w:r>
      <w:r>
        <w:rPr>
          <w:rFonts w:ascii="Century Gothic" w:eastAsia="Century Gothic" w:hAnsi="Century Gothic" w:cs="Century Gothic"/>
          <w:b/>
        </w:rPr>
        <w:t xml:space="preserve"> </w:t>
      </w:r>
      <w:r>
        <w:rPr>
          <w:rFonts w:ascii="Century Gothic" w:eastAsia="Century Gothic" w:hAnsi="Century Gothic" w:cs="Century Gothic"/>
        </w:rPr>
        <w:t>En lo que va del año 2019 fueron 12 los países que notificaron casos confirmados de sarampión: Argentina, Bahamas, Brasil, Canadá, Chile, Colombia, Costa Rica, Estados Unidos, México, Perú, Uruguay y Venezuela. Hasta el momento no se han reportado defunciones por sarampión en la región. En 2018 sólo Brasil y Venezuela lo hicieron.</w:t>
      </w:r>
    </w:p>
    <w:p w14:paraId="00000022" w14:textId="77777777" w:rsidR="00F80ADC" w:rsidRDefault="00F80ADC">
      <w:pPr>
        <w:spacing w:after="160" w:line="259" w:lineRule="auto"/>
        <w:jc w:val="both"/>
        <w:rPr>
          <w:rFonts w:ascii="Century Gothic" w:eastAsia="Century Gothic" w:hAnsi="Century Gothic" w:cs="Century Gothic"/>
        </w:rPr>
      </w:pPr>
    </w:p>
    <w:p w14:paraId="00000023" w14:textId="3D91560B" w:rsidR="00F80ADC" w:rsidRDefault="00DE723D">
      <w:pPr>
        <w:spacing w:after="160" w:line="259" w:lineRule="auto"/>
        <w:jc w:val="both"/>
        <w:rPr>
          <w:rFonts w:ascii="Century Gothic" w:eastAsia="Century Gothic" w:hAnsi="Century Gothic" w:cs="Century Gothic"/>
        </w:rPr>
      </w:pPr>
      <w:r>
        <w:rPr>
          <w:rFonts w:ascii="Century Gothic" w:eastAsia="Century Gothic" w:hAnsi="Century Gothic" w:cs="Century Gothic"/>
        </w:rPr>
        <w:t xml:space="preserve">Ilda </w:t>
      </w:r>
      <w:r w:rsidR="00B05BDF">
        <w:rPr>
          <w:rFonts w:ascii="Century Gothic" w:eastAsia="Century Gothic" w:hAnsi="Century Gothic" w:cs="Century Gothic"/>
        </w:rPr>
        <w:t xml:space="preserve">Litmara </w:t>
      </w:r>
      <w:r>
        <w:rPr>
          <w:rFonts w:ascii="Century Gothic" w:eastAsia="Century Gothic" w:hAnsi="Century Gothic" w:cs="Century Gothic"/>
        </w:rPr>
        <w:t>Salgado</w:t>
      </w:r>
      <w:r w:rsidR="00B05BDF">
        <w:rPr>
          <w:rFonts w:ascii="Century Gothic" w:eastAsia="Century Gothic" w:hAnsi="Century Gothic" w:cs="Century Gothic"/>
        </w:rPr>
        <w:t>.</w:t>
      </w:r>
    </w:p>
    <w:p w14:paraId="00000024" w14:textId="77777777" w:rsidR="00F80ADC" w:rsidRDefault="00F80ADC">
      <w:pPr>
        <w:jc w:val="both"/>
      </w:pPr>
    </w:p>
    <w:sectPr w:rsidR="00F80A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278E8"/>
    <w:multiLevelType w:val="multilevel"/>
    <w:tmpl w:val="4F80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DC"/>
    <w:rsid w:val="0020450C"/>
    <w:rsid w:val="00520F06"/>
    <w:rsid w:val="00556707"/>
    <w:rsid w:val="008655CA"/>
    <w:rsid w:val="009A57F9"/>
    <w:rsid w:val="00B05BDF"/>
    <w:rsid w:val="00BF159C"/>
    <w:rsid w:val="00DE723D"/>
    <w:rsid w:val="00F8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serviciosarin</dc:creator>
  <cp:lastModifiedBy>Patricia</cp:lastModifiedBy>
  <cp:revision>3</cp:revision>
  <dcterms:created xsi:type="dcterms:W3CDTF">2019-06-07T15:36:00Z</dcterms:created>
  <dcterms:modified xsi:type="dcterms:W3CDTF">2019-06-07T15:36:00Z</dcterms:modified>
</cp:coreProperties>
</file>